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588" w:rsidRPr="00386588" w:rsidRDefault="00386588" w:rsidP="00386588">
      <w:pPr>
        <w:jc w:val="center"/>
        <w:rPr>
          <w:rFonts w:ascii="Arial" w:hAnsi="Arial" w:cs="Arial"/>
          <w:color w:val="4472C4" w:themeColor="accent5"/>
          <w:sz w:val="32"/>
          <w:szCs w:val="32"/>
        </w:rPr>
      </w:pPr>
      <w:r w:rsidRPr="00386588">
        <w:rPr>
          <w:rFonts w:ascii="Arial" w:hAnsi="Arial" w:cs="Arial"/>
          <w:color w:val="4472C4" w:themeColor="accent5"/>
          <w:sz w:val="32"/>
          <w:szCs w:val="32"/>
        </w:rPr>
        <w:t>Perspectives agricoles de L'OCDE et de la FAO 2016-2025</w:t>
      </w:r>
    </w:p>
    <w:p w:rsidR="00386588" w:rsidRDefault="00386588" w:rsidP="00386588">
      <w:pPr>
        <w:rPr>
          <w:rFonts w:ascii="Arial" w:hAnsi="Arial" w:cs="Arial"/>
          <w:sz w:val="24"/>
          <w:szCs w:val="24"/>
        </w:rPr>
      </w:pPr>
    </w:p>
    <w:p w:rsidR="00386588" w:rsidRDefault="00386588" w:rsidP="00386588">
      <w:pPr>
        <w:rPr>
          <w:rFonts w:ascii="Arial" w:hAnsi="Arial" w:cs="Arial"/>
          <w:sz w:val="24"/>
          <w:szCs w:val="24"/>
        </w:rPr>
      </w:pPr>
      <w:r w:rsidRPr="00386588">
        <w:rPr>
          <w:rFonts w:ascii="Arial" w:hAnsi="Arial" w:cs="Arial"/>
          <w:sz w:val="24"/>
          <w:szCs w:val="24"/>
        </w:rPr>
        <w:t>Cette douzième édition conjointe des </w:t>
      </w:r>
      <w:r w:rsidRPr="00386588">
        <w:rPr>
          <w:rFonts w:ascii="Arial" w:hAnsi="Arial" w:cs="Arial"/>
          <w:i/>
          <w:iCs/>
          <w:sz w:val="24"/>
          <w:szCs w:val="24"/>
        </w:rPr>
        <w:t>Perspectives Agricoles de l’OCDE et de la FAO </w:t>
      </w:r>
      <w:r w:rsidRPr="00386588">
        <w:rPr>
          <w:rFonts w:ascii="Arial" w:hAnsi="Arial" w:cs="Arial"/>
          <w:sz w:val="24"/>
          <w:szCs w:val="24"/>
        </w:rPr>
        <w:t xml:space="preserve">présente des projections à l’horizon 2025 pour les principaux produits agricoles, les biocarburants et le poisson. </w:t>
      </w:r>
    </w:p>
    <w:p w:rsidR="00386588" w:rsidRPr="00386588" w:rsidRDefault="00386588" w:rsidP="00386588">
      <w:pPr>
        <w:rPr>
          <w:rFonts w:ascii="Arial" w:hAnsi="Arial" w:cs="Arial"/>
          <w:sz w:val="24"/>
          <w:szCs w:val="24"/>
        </w:rPr>
      </w:pPr>
      <w:r w:rsidRPr="00386588">
        <w:rPr>
          <w:rFonts w:ascii="Arial" w:hAnsi="Arial" w:cs="Arial"/>
          <w:sz w:val="24"/>
          <w:szCs w:val="24"/>
        </w:rPr>
        <w:t>Le rapport 2016 comprend un chapitre spécial sur les perspectives et les défis auxquels l’Afrique subsaharienne sera confrontée.</w:t>
      </w:r>
    </w:p>
    <w:p w:rsidR="00386588" w:rsidRPr="00386588" w:rsidRDefault="00386588" w:rsidP="00386588">
      <w:pPr>
        <w:rPr>
          <w:rFonts w:ascii="Arial" w:hAnsi="Arial" w:cs="Arial"/>
          <w:sz w:val="24"/>
          <w:szCs w:val="24"/>
        </w:rPr>
      </w:pPr>
      <w:r w:rsidRPr="00386588">
        <w:rPr>
          <w:rFonts w:ascii="Arial" w:hAnsi="Arial" w:cs="Arial"/>
          <w:sz w:val="24"/>
          <w:szCs w:val="24"/>
        </w:rPr>
        <w:t xml:space="preserve">Sur la période de dix ans couverte par les Perspectives, un ralentissement de la croissance de la demande sera compensé par des gains d’efficacité de production, impliquant des prix réels des produits agricoles relativement stables. </w:t>
      </w:r>
    </w:p>
    <w:p w:rsidR="00386588" w:rsidRDefault="00386588" w:rsidP="00386588">
      <w:pPr>
        <w:rPr>
          <w:rFonts w:ascii="Arial" w:hAnsi="Arial" w:cs="Arial"/>
          <w:sz w:val="24"/>
          <w:szCs w:val="24"/>
        </w:rPr>
      </w:pPr>
      <w:r w:rsidRPr="00386588">
        <w:rPr>
          <w:rFonts w:ascii="Arial" w:hAnsi="Arial" w:cs="Arial"/>
          <w:sz w:val="24"/>
          <w:szCs w:val="24"/>
        </w:rPr>
        <w:t xml:space="preserve">Toutefois, les incertitudes des marchés et des politiques donnent lieu à un risque de volatilité résurgente. </w:t>
      </w:r>
    </w:p>
    <w:p w:rsidR="00386588" w:rsidRPr="00386588" w:rsidRDefault="00386588" w:rsidP="00386588">
      <w:pPr>
        <w:rPr>
          <w:rFonts w:ascii="Arial" w:hAnsi="Arial" w:cs="Arial"/>
          <w:sz w:val="24"/>
          <w:szCs w:val="24"/>
        </w:rPr>
      </w:pPr>
      <w:bookmarkStart w:id="0" w:name="_GoBack"/>
      <w:bookmarkEnd w:id="0"/>
      <w:r w:rsidRPr="00386588">
        <w:rPr>
          <w:rFonts w:ascii="Arial" w:hAnsi="Arial" w:cs="Arial"/>
          <w:sz w:val="24"/>
          <w:szCs w:val="24"/>
        </w:rPr>
        <w:t xml:space="preserve">Les projections pour l’agriculture en Afrique subsaharienne indiquent une augmentation des disponibilités alimentaires, ce qui favorisera une diminution de l’incidence de la malnutrition. </w:t>
      </w:r>
    </w:p>
    <w:p w:rsidR="00386588" w:rsidRPr="00386588" w:rsidRDefault="00386588" w:rsidP="00386588">
      <w:pPr>
        <w:rPr>
          <w:rFonts w:ascii="Arial" w:hAnsi="Arial" w:cs="Arial"/>
          <w:sz w:val="24"/>
          <w:szCs w:val="24"/>
        </w:rPr>
      </w:pPr>
      <w:r w:rsidRPr="00386588">
        <w:rPr>
          <w:rFonts w:ascii="Arial" w:hAnsi="Arial" w:cs="Arial"/>
          <w:sz w:val="24"/>
          <w:szCs w:val="24"/>
        </w:rPr>
        <w:t>Les perspectives du secteur pourraient être bien meilleures si les politiques menées dans la région étaient plus stables, si des investissements stratégiques publics et privés étaient consentis, notamment dans les infrastructures, et si des activités de recherche et de vulgarisation adaptées étaient menées.</w:t>
      </w:r>
    </w:p>
    <w:p w:rsidR="00386588" w:rsidRPr="00386588" w:rsidRDefault="00386588" w:rsidP="00386588">
      <w:pPr>
        <w:rPr>
          <w:rFonts w:ascii="Arial" w:hAnsi="Arial" w:cs="Arial"/>
          <w:sz w:val="24"/>
          <w:szCs w:val="24"/>
        </w:rPr>
      </w:pPr>
      <w:r w:rsidRPr="00386588">
        <w:rPr>
          <w:rFonts w:ascii="Arial" w:hAnsi="Arial" w:cs="Arial"/>
          <w:sz w:val="24"/>
          <w:szCs w:val="24"/>
        </w:rPr>
        <w:t>Lire le </w:t>
      </w:r>
      <w:hyperlink r:id="rId5" w:history="1">
        <w:r w:rsidRPr="00386588">
          <w:rPr>
            <w:rStyle w:val="Lienhypertexte"/>
            <w:rFonts w:ascii="Arial" w:hAnsi="Arial" w:cs="Arial"/>
            <w:i/>
            <w:iCs/>
            <w:sz w:val="24"/>
            <w:szCs w:val="24"/>
          </w:rPr>
          <w:t>Résumé</w:t>
        </w:r>
      </w:hyperlink>
      <w:r w:rsidRPr="00386588">
        <w:rPr>
          <w:rFonts w:ascii="Arial" w:hAnsi="Arial" w:cs="Arial"/>
          <w:sz w:val="24"/>
          <w:szCs w:val="24"/>
        </w:rPr>
        <w:t> du rapport.</w:t>
      </w:r>
    </w:p>
    <w:p w:rsidR="00386588" w:rsidRPr="00386588" w:rsidRDefault="00386588" w:rsidP="00386588">
      <w:pPr>
        <w:rPr>
          <w:rFonts w:ascii="Arial" w:hAnsi="Arial" w:cs="Arial"/>
          <w:sz w:val="24"/>
          <w:szCs w:val="24"/>
        </w:rPr>
      </w:pPr>
      <w:r w:rsidRPr="00386588">
        <w:rPr>
          <w:rFonts w:ascii="Arial" w:hAnsi="Arial" w:cs="Arial"/>
          <w:sz w:val="24"/>
          <w:szCs w:val="24"/>
        </w:rPr>
        <w:t>Télécharger les </w:t>
      </w:r>
      <w:r w:rsidRPr="00386588">
        <w:rPr>
          <w:rFonts w:ascii="Arial" w:hAnsi="Arial" w:cs="Arial"/>
          <w:i/>
          <w:iCs/>
          <w:sz w:val="24"/>
          <w:szCs w:val="24"/>
        </w:rPr>
        <w:t>Perspectives</w:t>
      </w:r>
      <w:r w:rsidRPr="00386588">
        <w:rPr>
          <w:rFonts w:ascii="Arial" w:hAnsi="Arial" w:cs="Arial"/>
          <w:sz w:val="24"/>
          <w:szCs w:val="24"/>
        </w:rPr>
        <w:t xml:space="preserve"> chapitre par </w:t>
      </w:r>
      <w:proofErr w:type="gramStart"/>
      <w:r w:rsidRPr="00386588">
        <w:rPr>
          <w:rFonts w:ascii="Arial" w:hAnsi="Arial" w:cs="Arial"/>
          <w:sz w:val="24"/>
          <w:szCs w:val="24"/>
        </w:rPr>
        <w:t>chapitre:</w:t>
      </w:r>
      <w:proofErr w:type="gramEnd"/>
    </w:p>
    <w:p w:rsidR="00386588" w:rsidRPr="00386588" w:rsidRDefault="00386588" w:rsidP="00386588">
      <w:pPr>
        <w:numPr>
          <w:ilvl w:val="0"/>
          <w:numId w:val="1"/>
        </w:numPr>
        <w:rPr>
          <w:rFonts w:ascii="Arial" w:hAnsi="Arial" w:cs="Arial"/>
          <w:sz w:val="24"/>
          <w:szCs w:val="24"/>
        </w:rPr>
      </w:pPr>
      <w:hyperlink r:id="rId6" w:history="1">
        <w:r w:rsidRPr="00386588">
          <w:rPr>
            <w:rStyle w:val="Lienhypertexte"/>
            <w:rFonts w:ascii="Arial" w:hAnsi="Arial" w:cs="Arial"/>
            <w:sz w:val="24"/>
            <w:szCs w:val="24"/>
          </w:rPr>
          <w:t>Avant-propos</w:t>
        </w:r>
      </w:hyperlink>
    </w:p>
    <w:p w:rsidR="00386588" w:rsidRPr="00386588" w:rsidRDefault="00386588" w:rsidP="00386588">
      <w:pPr>
        <w:numPr>
          <w:ilvl w:val="0"/>
          <w:numId w:val="1"/>
        </w:numPr>
        <w:rPr>
          <w:rFonts w:ascii="Arial" w:hAnsi="Arial" w:cs="Arial"/>
          <w:sz w:val="24"/>
          <w:szCs w:val="24"/>
        </w:rPr>
      </w:pPr>
      <w:hyperlink r:id="rId7" w:tgtFrame="_top" w:history="1">
        <w:r w:rsidRPr="00386588">
          <w:rPr>
            <w:rStyle w:val="Lienhypertexte"/>
            <w:rFonts w:ascii="Arial" w:hAnsi="Arial" w:cs="Arial"/>
            <w:sz w:val="24"/>
            <w:szCs w:val="24"/>
          </w:rPr>
          <w:t>Sigles et abréviations</w:t>
        </w:r>
      </w:hyperlink>
    </w:p>
    <w:p w:rsidR="00386588" w:rsidRPr="00386588" w:rsidRDefault="00386588" w:rsidP="00386588">
      <w:pPr>
        <w:numPr>
          <w:ilvl w:val="0"/>
          <w:numId w:val="1"/>
        </w:numPr>
        <w:rPr>
          <w:rFonts w:ascii="Arial" w:hAnsi="Arial" w:cs="Arial"/>
          <w:sz w:val="24"/>
          <w:szCs w:val="24"/>
        </w:rPr>
      </w:pPr>
      <w:hyperlink r:id="rId8" w:history="1">
        <w:r w:rsidRPr="00386588">
          <w:rPr>
            <w:rStyle w:val="Lienhypertexte"/>
            <w:rFonts w:ascii="Arial" w:hAnsi="Arial" w:cs="Arial"/>
            <w:sz w:val="24"/>
            <w:szCs w:val="24"/>
          </w:rPr>
          <w:t>Sommaire</w:t>
        </w:r>
      </w:hyperlink>
    </w:p>
    <w:p w:rsidR="00386588" w:rsidRPr="00386588" w:rsidRDefault="00386588" w:rsidP="00386588">
      <w:pPr>
        <w:numPr>
          <w:ilvl w:val="0"/>
          <w:numId w:val="1"/>
        </w:numPr>
        <w:rPr>
          <w:rFonts w:ascii="Arial" w:hAnsi="Arial" w:cs="Arial"/>
          <w:sz w:val="24"/>
          <w:szCs w:val="24"/>
        </w:rPr>
      </w:pPr>
      <w:hyperlink r:id="rId9" w:history="1">
        <w:r w:rsidRPr="00386588">
          <w:rPr>
            <w:rStyle w:val="Lienhypertexte"/>
            <w:rFonts w:ascii="Arial" w:hAnsi="Arial" w:cs="Arial"/>
            <w:sz w:val="24"/>
            <w:szCs w:val="24"/>
          </w:rPr>
          <w:t>Chapitre 1. Vue d’ensemble des Perspectives agricoles de l’OCDE et de la FAO 2016-2025</w:t>
        </w:r>
      </w:hyperlink>
    </w:p>
    <w:p w:rsidR="00386588" w:rsidRPr="00386588" w:rsidRDefault="00386588" w:rsidP="00386588">
      <w:pPr>
        <w:numPr>
          <w:ilvl w:val="0"/>
          <w:numId w:val="1"/>
        </w:numPr>
        <w:rPr>
          <w:rFonts w:ascii="Arial" w:hAnsi="Arial" w:cs="Arial"/>
          <w:sz w:val="24"/>
          <w:szCs w:val="24"/>
        </w:rPr>
      </w:pPr>
      <w:hyperlink r:id="rId10" w:history="1">
        <w:r w:rsidRPr="00386588">
          <w:rPr>
            <w:rStyle w:val="Lienhypertexte"/>
            <w:rFonts w:ascii="Arial" w:hAnsi="Arial" w:cs="Arial"/>
            <w:sz w:val="24"/>
            <w:szCs w:val="24"/>
          </w:rPr>
          <w:t>Chapitre 2. L’agriculture en Afrique subsaharienne : Perspectives et enjeux pour la décennie à venir</w:t>
        </w:r>
      </w:hyperlink>
    </w:p>
    <w:p w:rsidR="00386588" w:rsidRPr="00386588" w:rsidRDefault="00386588" w:rsidP="00386588">
      <w:pPr>
        <w:numPr>
          <w:ilvl w:val="0"/>
          <w:numId w:val="1"/>
        </w:numPr>
        <w:rPr>
          <w:rFonts w:ascii="Arial" w:hAnsi="Arial" w:cs="Arial"/>
          <w:sz w:val="24"/>
          <w:szCs w:val="24"/>
        </w:rPr>
      </w:pPr>
      <w:hyperlink r:id="rId11" w:history="1">
        <w:r w:rsidRPr="00386588">
          <w:rPr>
            <w:rStyle w:val="Lienhypertexte"/>
            <w:rFonts w:ascii="Arial" w:hAnsi="Arial" w:cs="Arial"/>
            <w:sz w:val="24"/>
            <w:szCs w:val="24"/>
          </w:rPr>
          <w:t>Chapitre 3. Aperçu par produit</w:t>
        </w:r>
      </w:hyperlink>
    </w:p>
    <w:p w:rsidR="00386588" w:rsidRPr="00386588" w:rsidRDefault="00386588" w:rsidP="00386588">
      <w:pPr>
        <w:rPr>
          <w:rFonts w:ascii="Arial" w:hAnsi="Arial" w:cs="Arial"/>
          <w:sz w:val="24"/>
          <w:szCs w:val="24"/>
        </w:rPr>
      </w:pPr>
      <w:r w:rsidRPr="00386588">
        <w:rPr>
          <w:rFonts w:ascii="Arial" w:hAnsi="Arial" w:cs="Arial"/>
          <w:sz w:val="24"/>
          <w:szCs w:val="24"/>
        </w:rPr>
        <w:t xml:space="preserve">Chapitres des </w:t>
      </w:r>
      <w:proofErr w:type="gramStart"/>
      <w:r w:rsidRPr="00386588">
        <w:rPr>
          <w:rFonts w:ascii="Arial" w:hAnsi="Arial" w:cs="Arial"/>
          <w:sz w:val="24"/>
          <w:szCs w:val="24"/>
        </w:rPr>
        <w:t>produits:</w:t>
      </w:r>
      <w:proofErr w:type="gramEnd"/>
    </w:p>
    <w:p w:rsidR="00386588" w:rsidRPr="00386588" w:rsidRDefault="00386588" w:rsidP="00386588">
      <w:pPr>
        <w:rPr>
          <w:rFonts w:ascii="Arial" w:hAnsi="Arial" w:cs="Arial"/>
          <w:sz w:val="24"/>
          <w:szCs w:val="24"/>
        </w:rPr>
      </w:pPr>
      <w:proofErr w:type="gramStart"/>
      <w:r w:rsidRPr="00386588">
        <w:rPr>
          <w:rFonts w:ascii="Arial" w:hAnsi="Arial" w:cs="Arial"/>
          <w:sz w:val="24"/>
          <w:szCs w:val="24"/>
        </w:rPr>
        <w:t xml:space="preserve">  </w:t>
      </w:r>
      <w:proofErr w:type="gramEnd"/>
      <w:r w:rsidRPr="00386588">
        <w:rPr>
          <w:rFonts w:ascii="Arial" w:hAnsi="Arial" w:cs="Arial"/>
          <w:sz w:val="24"/>
          <w:szCs w:val="24"/>
        </w:rPr>
        <w:fldChar w:fldCharType="begin"/>
      </w:r>
      <w:r w:rsidRPr="00386588">
        <w:rPr>
          <w:rFonts w:ascii="Arial" w:hAnsi="Arial" w:cs="Arial"/>
          <w:sz w:val="24"/>
          <w:szCs w:val="24"/>
        </w:rPr>
        <w:instrText xml:space="preserve"> HYPERLINK "http://www.fao.org/3/a-BO097f.pdf" </w:instrText>
      </w:r>
      <w:r w:rsidRPr="00386588">
        <w:rPr>
          <w:rFonts w:ascii="Arial" w:hAnsi="Arial" w:cs="Arial"/>
          <w:sz w:val="24"/>
          <w:szCs w:val="24"/>
        </w:rPr>
        <w:fldChar w:fldCharType="separate"/>
      </w:r>
      <w:r w:rsidRPr="00386588">
        <w:rPr>
          <w:rStyle w:val="Lienhypertexte"/>
          <w:rFonts w:ascii="Arial" w:hAnsi="Arial" w:cs="Arial"/>
          <w:sz w:val="24"/>
          <w:szCs w:val="24"/>
        </w:rPr>
        <w:t>Céréales</w:t>
      </w:r>
      <w:r w:rsidRPr="00386588">
        <w:rPr>
          <w:rFonts w:ascii="Arial" w:hAnsi="Arial" w:cs="Arial"/>
          <w:sz w:val="24"/>
          <w:szCs w:val="24"/>
        </w:rPr>
        <w:fldChar w:fldCharType="end"/>
      </w:r>
    </w:p>
    <w:p w:rsidR="00386588" w:rsidRPr="00386588" w:rsidRDefault="00386588" w:rsidP="00386588">
      <w:pPr>
        <w:rPr>
          <w:rFonts w:ascii="Arial" w:hAnsi="Arial" w:cs="Arial"/>
          <w:sz w:val="24"/>
          <w:szCs w:val="24"/>
        </w:rPr>
      </w:pPr>
      <w:proofErr w:type="gramStart"/>
      <w:r w:rsidRPr="00386588">
        <w:rPr>
          <w:rFonts w:ascii="Arial" w:hAnsi="Arial" w:cs="Arial"/>
          <w:sz w:val="24"/>
          <w:szCs w:val="24"/>
        </w:rPr>
        <w:t xml:space="preserve">  </w:t>
      </w:r>
      <w:proofErr w:type="gramEnd"/>
      <w:r w:rsidRPr="00386588">
        <w:rPr>
          <w:rFonts w:ascii="Arial" w:hAnsi="Arial" w:cs="Arial"/>
          <w:sz w:val="24"/>
          <w:szCs w:val="24"/>
        </w:rPr>
        <w:fldChar w:fldCharType="begin"/>
      </w:r>
      <w:r w:rsidRPr="00386588">
        <w:rPr>
          <w:rFonts w:ascii="Arial" w:hAnsi="Arial" w:cs="Arial"/>
          <w:sz w:val="24"/>
          <w:szCs w:val="24"/>
        </w:rPr>
        <w:instrText xml:space="preserve"> HYPERLINK "http://www.fao.org/3/a-BO098f.pdf" </w:instrText>
      </w:r>
      <w:r w:rsidRPr="00386588">
        <w:rPr>
          <w:rFonts w:ascii="Arial" w:hAnsi="Arial" w:cs="Arial"/>
          <w:sz w:val="24"/>
          <w:szCs w:val="24"/>
        </w:rPr>
        <w:fldChar w:fldCharType="separate"/>
      </w:r>
      <w:r w:rsidRPr="00386588">
        <w:rPr>
          <w:rStyle w:val="Lienhypertexte"/>
          <w:rFonts w:ascii="Arial" w:hAnsi="Arial" w:cs="Arial"/>
          <w:sz w:val="24"/>
          <w:szCs w:val="24"/>
        </w:rPr>
        <w:t>Oléagineux et produits oléagineux</w:t>
      </w:r>
      <w:r w:rsidRPr="00386588">
        <w:rPr>
          <w:rFonts w:ascii="Arial" w:hAnsi="Arial" w:cs="Arial"/>
          <w:sz w:val="24"/>
          <w:szCs w:val="24"/>
        </w:rPr>
        <w:fldChar w:fldCharType="end"/>
      </w:r>
    </w:p>
    <w:p w:rsidR="00386588" w:rsidRPr="00386588" w:rsidRDefault="00386588" w:rsidP="00386588">
      <w:pPr>
        <w:rPr>
          <w:rFonts w:ascii="Arial" w:hAnsi="Arial" w:cs="Arial"/>
          <w:sz w:val="24"/>
          <w:szCs w:val="24"/>
        </w:rPr>
      </w:pPr>
      <w:proofErr w:type="gramStart"/>
      <w:r w:rsidRPr="00386588">
        <w:rPr>
          <w:rFonts w:ascii="Arial" w:hAnsi="Arial" w:cs="Arial"/>
          <w:sz w:val="24"/>
          <w:szCs w:val="24"/>
        </w:rPr>
        <w:t xml:space="preserve">  </w:t>
      </w:r>
      <w:proofErr w:type="gramEnd"/>
      <w:r w:rsidRPr="00386588">
        <w:rPr>
          <w:rFonts w:ascii="Arial" w:hAnsi="Arial" w:cs="Arial"/>
          <w:sz w:val="24"/>
          <w:szCs w:val="24"/>
        </w:rPr>
        <w:fldChar w:fldCharType="begin"/>
      </w:r>
      <w:r w:rsidRPr="00386588">
        <w:rPr>
          <w:rFonts w:ascii="Arial" w:hAnsi="Arial" w:cs="Arial"/>
          <w:sz w:val="24"/>
          <w:szCs w:val="24"/>
        </w:rPr>
        <w:instrText xml:space="preserve"> HYPERLINK "http://www.fao.org/3/a-BO099f.pdf" </w:instrText>
      </w:r>
      <w:r w:rsidRPr="00386588">
        <w:rPr>
          <w:rFonts w:ascii="Arial" w:hAnsi="Arial" w:cs="Arial"/>
          <w:sz w:val="24"/>
          <w:szCs w:val="24"/>
        </w:rPr>
        <w:fldChar w:fldCharType="separate"/>
      </w:r>
      <w:r w:rsidRPr="00386588">
        <w:rPr>
          <w:rStyle w:val="Lienhypertexte"/>
          <w:rFonts w:ascii="Arial" w:hAnsi="Arial" w:cs="Arial"/>
          <w:sz w:val="24"/>
          <w:szCs w:val="24"/>
        </w:rPr>
        <w:t>Sucre</w:t>
      </w:r>
      <w:r w:rsidRPr="00386588">
        <w:rPr>
          <w:rFonts w:ascii="Arial" w:hAnsi="Arial" w:cs="Arial"/>
          <w:sz w:val="24"/>
          <w:szCs w:val="24"/>
        </w:rPr>
        <w:fldChar w:fldCharType="end"/>
      </w:r>
    </w:p>
    <w:p w:rsidR="00386588" w:rsidRPr="00386588" w:rsidRDefault="00386588" w:rsidP="00386588">
      <w:pPr>
        <w:rPr>
          <w:rFonts w:ascii="Arial" w:hAnsi="Arial" w:cs="Arial"/>
          <w:sz w:val="24"/>
          <w:szCs w:val="24"/>
        </w:rPr>
      </w:pPr>
      <w:proofErr w:type="gramStart"/>
      <w:r w:rsidRPr="00386588">
        <w:rPr>
          <w:rFonts w:ascii="Arial" w:hAnsi="Arial" w:cs="Arial"/>
          <w:sz w:val="24"/>
          <w:szCs w:val="24"/>
        </w:rPr>
        <w:t xml:space="preserve">  </w:t>
      </w:r>
      <w:proofErr w:type="gramEnd"/>
      <w:r w:rsidRPr="00386588">
        <w:rPr>
          <w:rFonts w:ascii="Arial" w:hAnsi="Arial" w:cs="Arial"/>
          <w:sz w:val="24"/>
          <w:szCs w:val="24"/>
        </w:rPr>
        <w:fldChar w:fldCharType="begin"/>
      </w:r>
      <w:r w:rsidRPr="00386588">
        <w:rPr>
          <w:rFonts w:ascii="Arial" w:hAnsi="Arial" w:cs="Arial"/>
          <w:sz w:val="24"/>
          <w:szCs w:val="24"/>
        </w:rPr>
        <w:instrText xml:space="preserve"> HYPERLINK "http://www.fao.org/3/a-BO100f.pdf" </w:instrText>
      </w:r>
      <w:r w:rsidRPr="00386588">
        <w:rPr>
          <w:rFonts w:ascii="Arial" w:hAnsi="Arial" w:cs="Arial"/>
          <w:sz w:val="24"/>
          <w:szCs w:val="24"/>
        </w:rPr>
        <w:fldChar w:fldCharType="separate"/>
      </w:r>
      <w:r w:rsidRPr="00386588">
        <w:rPr>
          <w:rStyle w:val="Lienhypertexte"/>
          <w:rFonts w:ascii="Arial" w:hAnsi="Arial" w:cs="Arial"/>
          <w:sz w:val="24"/>
          <w:szCs w:val="24"/>
        </w:rPr>
        <w:t>Viande</w:t>
      </w:r>
      <w:r w:rsidRPr="00386588">
        <w:rPr>
          <w:rFonts w:ascii="Arial" w:hAnsi="Arial" w:cs="Arial"/>
          <w:sz w:val="24"/>
          <w:szCs w:val="24"/>
        </w:rPr>
        <w:fldChar w:fldCharType="end"/>
      </w:r>
    </w:p>
    <w:p w:rsidR="00386588" w:rsidRPr="00386588" w:rsidRDefault="00386588" w:rsidP="00386588">
      <w:pPr>
        <w:rPr>
          <w:rFonts w:ascii="Arial" w:hAnsi="Arial" w:cs="Arial"/>
          <w:sz w:val="24"/>
          <w:szCs w:val="24"/>
        </w:rPr>
      </w:pPr>
      <w:proofErr w:type="gramStart"/>
      <w:r w:rsidRPr="00386588">
        <w:rPr>
          <w:rFonts w:ascii="Arial" w:hAnsi="Arial" w:cs="Arial"/>
          <w:sz w:val="24"/>
          <w:szCs w:val="24"/>
        </w:rPr>
        <w:t xml:space="preserve">  </w:t>
      </w:r>
      <w:proofErr w:type="gramEnd"/>
      <w:r w:rsidRPr="00386588">
        <w:rPr>
          <w:rFonts w:ascii="Arial" w:hAnsi="Arial" w:cs="Arial"/>
          <w:sz w:val="24"/>
          <w:szCs w:val="24"/>
        </w:rPr>
        <w:fldChar w:fldCharType="begin"/>
      </w:r>
      <w:r w:rsidRPr="00386588">
        <w:rPr>
          <w:rFonts w:ascii="Arial" w:hAnsi="Arial" w:cs="Arial"/>
          <w:sz w:val="24"/>
          <w:szCs w:val="24"/>
        </w:rPr>
        <w:instrText xml:space="preserve"> HYPERLINK "http://www.fao.org/3/a-BO101f.pdf" </w:instrText>
      </w:r>
      <w:r w:rsidRPr="00386588">
        <w:rPr>
          <w:rFonts w:ascii="Arial" w:hAnsi="Arial" w:cs="Arial"/>
          <w:sz w:val="24"/>
          <w:szCs w:val="24"/>
        </w:rPr>
        <w:fldChar w:fldCharType="separate"/>
      </w:r>
      <w:r w:rsidRPr="00386588">
        <w:rPr>
          <w:rStyle w:val="Lienhypertexte"/>
          <w:rFonts w:ascii="Arial" w:hAnsi="Arial" w:cs="Arial"/>
          <w:sz w:val="24"/>
          <w:szCs w:val="24"/>
        </w:rPr>
        <w:t>Lait et produits laitiers</w:t>
      </w:r>
      <w:r w:rsidRPr="00386588">
        <w:rPr>
          <w:rFonts w:ascii="Arial" w:hAnsi="Arial" w:cs="Arial"/>
          <w:sz w:val="24"/>
          <w:szCs w:val="24"/>
        </w:rPr>
        <w:fldChar w:fldCharType="end"/>
      </w:r>
    </w:p>
    <w:p w:rsidR="00386588" w:rsidRPr="00386588" w:rsidRDefault="00386588" w:rsidP="00386588">
      <w:pPr>
        <w:rPr>
          <w:rFonts w:ascii="Arial" w:hAnsi="Arial" w:cs="Arial"/>
          <w:sz w:val="24"/>
          <w:szCs w:val="24"/>
        </w:rPr>
      </w:pPr>
      <w:proofErr w:type="gramStart"/>
      <w:r w:rsidRPr="00386588">
        <w:rPr>
          <w:rFonts w:ascii="Arial" w:hAnsi="Arial" w:cs="Arial"/>
          <w:sz w:val="24"/>
          <w:szCs w:val="24"/>
        </w:rPr>
        <w:lastRenderedPageBreak/>
        <w:t xml:space="preserve">  </w:t>
      </w:r>
      <w:proofErr w:type="gramEnd"/>
      <w:r w:rsidRPr="00386588">
        <w:rPr>
          <w:rFonts w:ascii="Arial" w:hAnsi="Arial" w:cs="Arial"/>
          <w:sz w:val="24"/>
          <w:szCs w:val="24"/>
        </w:rPr>
        <w:fldChar w:fldCharType="begin"/>
      </w:r>
      <w:r w:rsidRPr="00386588">
        <w:rPr>
          <w:rFonts w:ascii="Arial" w:hAnsi="Arial" w:cs="Arial"/>
          <w:sz w:val="24"/>
          <w:szCs w:val="24"/>
        </w:rPr>
        <w:instrText xml:space="preserve"> HYPERLINK "http://www.fao.org/3/a-BO102f.pdf" </w:instrText>
      </w:r>
      <w:r w:rsidRPr="00386588">
        <w:rPr>
          <w:rFonts w:ascii="Arial" w:hAnsi="Arial" w:cs="Arial"/>
          <w:sz w:val="24"/>
          <w:szCs w:val="24"/>
        </w:rPr>
        <w:fldChar w:fldCharType="separate"/>
      </w:r>
      <w:r w:rsidRPr="00386588">
        <w:rPr>
          <w:rStyle w:val="Lienhypertexte"/>
          <w:rFonts w:ascii="Arial" w:hAnsi="Arial" w:cs="Arial"/>
          <w:sz w:val="24"/>
          <w:szCs w:val="24"/>
        </w:rPr>
        <w:t>Produits halieutiques et aquacoles</w:t>
      </w:r>
      <w:r w:rsidRPr="00386588">
        <w:rPr>
          <w:rFonts w:ascii="Arial" w:hAnsi="Arial" w:cs="Arial"/>
          <w:sz w:val="24"/>
          <w:szCs w:val="24"/>
        </w:rPr>
        <w:fldChar w:fldCharType="end"/>
      </w:r>
    </w:p>
    <w:p w:rsidR="00386588" w:rsidRPr="00386588" w:rsidRDefault="00386588" w:rsidP="00386588">
      <w:pPr>
        <w:rPr>
          <w:rFonts w:ascii="Arial" w:hAnsi="Arial" w:cs="Arial"/>
          <w:sz w:val="24"/>
          <w:szCs w:val="24"/>
        </w:rPr>
      </w:pPr>
      <w:proofErr w:type="gramStart"/>
      <w:r w:rsidRPr="00386588">
        <w:rPr>
          <w:rFonts w:ascii="Arial" w:hAnsi="Arial" w:cs="Arial"/>
          <w:sz w:val="24"/>
          <w:szCs w:val="24"/>
        </w:rPr>
        <w:t xml:space="preserve">  </w:t>
      </w:r>
      <w:proofErr w:type="gramEnd"/>
      <w:r w:rsidRPr="00386588">
        <w:rPr>
          <w:rFonts w:ascii="Arial" w:hAnsi="Arial" w:cs="Arial"/>
          <w:sz w:val="24"/>
          <w:szCs w:val="24"/>
        </w:rPr>
        <w:fldChar w:fldCharType="begin"/>
      </w:r>
      <w:r w:rsidRPr="00386588">
        <w:rPr>
          <w:rFonts w:ascii="Arial" w:hAnsi="Arial" w:cs="Arial"/>
          <w:sz w:val="24"/>
          <w:szCs w:val="24"/>
        </w:rPr>
        <w:instrText xml:space="preserve"> HYPERLINK "http://www.fao.org/3/a-BO103f.pdf" </w:instrText>
      </w:r>
      <w:r w:rsidRPr="00386588">
        <w:rPr>
          <w:rFonts w:ascii="Arial" w:hAnsi="Arial" w:cs="Arial"/>
          <w:sz w:val="24"/>
          <w:szCs w:val="24"/>
        </w:rPr>
        <w:fldChar w:fldCharType="separate"/>
      </w:r>
      <w:r w:rsidRPr="00386588">
        <w:rPr>
          <w:rStyle w:val="Lienhypertexte"/>
          <w:rFonts w:ascii="Arial" w:hAnsi="Arial" w:cs="Arial"/>
          <w:sz w:val="24"/>
          <w:szCs w:val="24"/>
        </w:rPr>
        <w:t>Biocarburants</w:t>
      </w:r>
      <w:r w:rsidRPr="00386588">
        <w:rPr>
          <w:rFonts w:ascii="Arial" w:hAnsi="Arial" w:cs="Arial"/>
          <w:sz w:val="24"/>
          <w:szCs w:val="24"/>
        </w:rPr>
        <w:fldChar w:fldCharType="end"/>
      </w:r>
    </w:p>
    <w:p w:rsidR="00386588" w:rsidRPr="00386588" w:rsidRDefault="00386588" w:rsidP="00386588">
      <w:pPr>
        <w:rPr>
          <w:rFonts w:ascii="Arial" w:hAnsi="Arial" w:cs="Arial"/>
          <w:sz w:val="24"/>
          <w:szCs w:val="24"/>
        </w:rPr>
      </w:pPr>
      <w:proofErr w:type="gramStart"/>
      <w:r w:rsidRPr="00386588">
        <w:rPr>
          <w:rFonts w:ascii="Arial" w:hAnsi="Arial" w:cs="Arial"/>
          <w:sz w:val="24"/>
          <w:szCs w:val="24"/>
        </w:rPr>
        <w:t xml:space="preserve">  </w:t>
      </w:r>
      <w:proofErr w:type="gramEnd"/>
      <w:r w:rsidRPr="00386588">
        <w:rPr>
          <w:rFonts w:ascii="Arial" w:hAnsi="Arial" w:cs="Arial"/>
          <w:sz w:val="24"/>
          <w:szCs w:val="24"/>
        </w:rPr>
        <w:fldChar w:fldCharType="begin"/>
      </w:r>
      <w:r w:rsidRPr="00386588">
        <w:rPr>
          <w:rFonts w:ascii="Arial" w:hAnsi="Arial" w:cs="Arial"/>
          <w:sz w:val="24"/>
          <w:szCs w:val="24"/>
        </w:rPr>
        <w:instrText xml:space="preserve"> HYPERLINK "http://www.fao.org/3/a-BO104f.pdf" </w:instrText>
      </w:r>
      <w:r w:rsidRPr="00386588">
        <w:rPr>
          <w:rFonts w:ascii="Arial" w:hAnsi="Arial" w:cs="Arial"/>
          <w:sz w:val="24"/>
          <w:szCs w:val="24"/>
        </w:rPr>
        <w:fldChar w:fldCharType="separate"/>
      </w:r>
      <w:r w:rsidRPr="00386588">
        <w:rPr>
          <w:rStyle w:val="Lienhypertexte"/>
          <w:rFonts w:ascii="Arial" w:hAnsi="Arial" w:cs="Arial"/>
          <w:sz w:val="24"/>
          <w:szCs w:val="24"/>
        </w:rPr>
        <w:t>Coton</w:t>
      </w:r>
      <w:r w:rsidRPr="00386588">
        <w:rPr>
          <w:rFonts w:ascii="Arial" w:hAnsi="Arial" w:cs="Arial"/>
          <w:sz w:val="24"/>
          <w:szCs w:val="24"/>
        </w:rPr>
        <w:fldChar w:fldCharType="end"/>
      </w:r>
    </w:p>
    <w:p w:rsidR="00386588" w:rsidRPr="00386588" w:rsidRDefault="00386588" w:rsidP="00386588">
      <w:pPr>
        <w:rPr>
          <w:rFonts w:ascii="Arial" w:hAnsi="Arial" w:cs="Arial"/>
          <w:sz w:val="24"/>
          <w:szCs w:val="24"/>
        </w:rPr>
      </w:pPr>
      <w:proofErr w:type="gramStart"/>
      <w:r w:rsidRPr="00386588">
        <w:rPr>
          <w:rFonts w:ascii="Arial" w:hAnsi="Arial" w:cs="Arial"/>
          <w:sz w:val="24"/>
          <w:szCs w:val="24"/>
        </w:rPr>
        <w:t xml:space="preserve">  </w:t>
      </w:r>
      <w:proofErr w:type="gramEnd"/>
      <w:r w:rsidRPr="00386588">
        <w:rPr>
          <w:rFonts w:ascii="Arial" w:hAnsi="Arial" w:cs="Arial"/>
          <w:sz w:val="24"/>
          <w:szCs w:val="24"/>
        </w:rPr>
        <w:fldChar w:fldCharType="begin"/>
      </w:r>
      <w:r w:rsidRPr="00386588">
        <w:rPr>
          <w:rFonts w:ascii="Arial" w:hAnsi="Arial" w:cs="Arial"/>
          <w:sz w:val="24"/>
          <w:szCs w:val="24"/>
        </w:rPr>
        <w:instrText xml:space="preserve"> HYPERLINK "http://www.fao.org/3/a-BO105f.pdf" </w:instrText>
      </w:r>
      <w:r w:rsidRPr="00386588">
        <w:rPr>
          <w:rFonts w:ascii="Arial" w:hAnsi="Arial" w:cs="Arial"/>
          <w:sz w:val="24"/>
          <w:szCs w:val="24"/>
        </w:rPr>
        <w:fldChar w:fldCharType="separate"/>
      </w:r>
      <w:r w:rsidRPr="00386588">
        <w:rPr>
          <w:rStyle w:val="Lienhypertexte"/>
          <w:rFonts w:ascii="Arial" w:hAnsi="Arial" w:cs="Arial"/>
          <w:sz w:val="24"/>
          <w:szCs w:val="24"/>
        </w:rPr>
        <w:t xml:space="preserve">Annexe </w:t>
      </w:r>
      <w:proofErr w:type="spellStart"/>
      <w:r w:rsidRPr="00386588">
        <w:rPr>
          <w:rStyle w:val="Lienhypertexte"/>
          <w:rFonts w:ascii="Arial" w:hAnsi="Arial" w:cs="Arial"/>
          <w:sz w:val="24"/>
          <w:szCs w:val="24"/>
        </w:rPr>
        <w:t>statisque</w:t>
      </w:r>
      <w:proofErr w:type="spellEnd"/>
      <w:r w:rsidRPr="00386588">
        <w:rPr>
          <w:rFonts w:ascii="Arial" w:hAnsi="Arial" w:cs="Arial"/>
          <w:sz w:val="24"/>
          <w:szCs w:val="24"/>
        </w:rPr>
        <w:fldChar w:fldCharType="end"/>
      </w:r>
    </w:p>
    <w:p w:rsidR="00386588" w:rsidRPr="00386588" w:rsidRDefault="00386588" w:rsidP="00386588">
      <w:pPr>
        <w:rPr>
          <w:rFonts w:ascii="Arial" w:hAnsi="Arial" w:cs="Arial"/>
          <w:sz w:val="24"/>
          <w:szCs w:val="24"/>
        </w:rPr>
      </w:pPr>
      <w:r w:rsidRPr="00386588">
        <w:rPr>
          <w:rFonts w:ascii="Arial" w:hAnsi="Arial" w:cs="Arial"/>
          <w:sz w:val="24"/>
          <w:szCs w:val="24"/>
        </w:rPr>
        <w:t xml:space="preserve">Des informations complémentaires sont disponibles en ligne sur </w:t>
      </w:r>
      <w:proofErr w:type="gramStart"/>
      <w:r w:rsidRPr="00386588">
        <w:rPr>
          <w:rFonts w:ascii="Arial" w:hAnsi="Arial" w:cs="Arial"/>
          <w:sz w:val="24"/>
          <w:szCs w:val="24"/>
        </w:rPr>
        <w:t>le </w:t>
      </w:r>
      <w:hyperlink r:id="rId12" w:history="1">
        <w:r w:rsidRPr="00386588">
          <w:rPr>
            <w:rStyle w:val="Lienhypertexte"/>
            <w:rFonts w:ascii="Arial" w:hAnsi="Arial" w:cs="Arial"/>
            <w:sz w:val="24"/>
            <w:szCs w:val="24"/>
          </w:rPr>
          <w:t>OCDE-FAO</w:t>
        </w:r>
        <w:proofErr w:type="gramEnd"/>
        <w:r w:rsidRPr="00386588">
          <w:rPr>
            <w:rStyle w:val="Lienhypertexte"/>
            <w:rFonts w:ascii="Arial" w:hAnsi="Arial" w:cs="Arial"/>
            <w:sz w:val="24"/>
            <w:szCs w:val="24"/>
          </w:rPr>
          <w:t xml:space="preserve"> Perspectives Agricoles site internet</w:t>
        </w:r>
      </w:hyperlink>
      <w:r w:rsidRPr="00386588">
        <w:rPr>
          <w:rFonts w:ascii="Arial" w:hAnsi="Arial" w:cs="Arial"/>
          <w:sz w:val="24"/>
          <w:szCs w:val="24"/>
        </w:rPr>
        <w:t>.</w:t>
      </w:r>
    </w:p>
    <w:p w:rsidR="00386588" w:rsidRDefault="00386588">
      <w:pPr>
        <w:rPr>
          <w:rFonts w:ascii="Arial" w:hAnsi="Arial" w:cs="Arial"/>
          <w:color w:val="4472C4" w:themeColor="accent5"/>
          <w:sz w:val="18"/>
          <w:szCs w:val="18"/>
        </w:rPr>
      </w:pPr>
    </w:p>
    <w:p w:rsidR="0044219A" w:rsidRPr="00386588" w:rsidRDefault="00386588">
      <w:pPr>
        <w:rPr>
          <w:rFonts w:ascii="Arial" w:hAnsi="Arial" w:cs="Arial"/>
          <w:color w:val="4472C4" w:themeColor="accent5"/>
          <w:sz w:val="18"/>
          <w:szCs w:val="18"/>
        </w:rPr>
      </w:pPr>
      <w:r w:rsidRPr="00386588">
        <w:rPr>
          <w:rFonts w:ascii="Arial" w:hAnsi="Arial" w:cs="Arial"/>
          <w:color w:val="4472C4" w:themeColor="accent5"/>
          <w:sz w:val="18"/>
          <w:szCs w:val="18"/>
        </w:rPr>
        <w:t>Source : http://www.fao.org/documents/card/en/c/ec4cffa3-4b0a-44ad-90f4-1d53e7feab44/</w:t>
      </w:r>
    </w:p>
    <w:sectPr w:rsidR="0044219A" w:rsidRPr="00386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81D15"/>
    <w:multiLevelType w:val="multilevel"/>
    <w:tmpl w:val="D42A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7"/>
    <w:rsid w:val="00386588"/>
    <w:rsid w:val="0044219A"/>
    <w:rsid w:val="00EF6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E546-B67D-4562-B241-A36DBA4C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65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757116">
      <w:bodyDiv w:val="1"/>
      <w:marLeft w:val="0"/>
      <w:marRight w:val="0"/>
      <w:marTop w:val="0"/>
      <w:marBottom w:val="0"/>
      <w:divBdr>
        <w:top w:val="none" w:sz="0" w:space="0" w:color="auto"/>
        <w:left w:val="none" w:sz="0" w:space="0" w:color="auto"/>
        <w:bottom w:val="none" w:sz="0" w:space="0" w:color="auto"/>
        <w:right w:val="none" w:sz="0" w:space="0" w:color="auto"/>
      </w:divBdr>
    </w:div>
    <w:div w:id="191851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a-BO096f.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o.org/3/a-BO094f.pdf" TargetMode="External"/><Relationship Id="rId12" Type="http://schemas.openxmlformats.org/officeDocument/2006/relationships/hyperlink" Target="http://www.agri-outlook.org/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o.org/3/a-BO095f.pdf" TargetMode="External"/><Relationship Id="rId11" Type="http://schemas.openxmlformats.org/officeDocument/2006/relationships/hyperlink" Target="http://www.fao.org/3/a-BO093f.pdf" TargetMode="External"/><Relationship Id="rId5" Type="http://schemas.openxmlformats.org/officeDocument/2006/relationships/hyperlink" Target="http://www.fao.org/3/a-i5851f.pdf" TargetMode="External"/><Relationship Id="rId10" Type="http://schemas.openxmlformats.org/officeDocument/2006/relationships/hyperlink" Target="http://www.fao.org/3/a-BO092f.pdf" TargetMode="External"/><Relationship Id="rId4" Type="http://schemas.openxmlformats.org/officeDocument/2006/relationships/webSettings" Target="webSettings.xml"/><Relationship Id="rId9" Type="http://schemas.openxmlformats.org/officeDocument/2006/relationships/hyperlink" Target="http://www.fao.org/3/a-Bo091f.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2398</Characters>
  <Application>Microsoft Office Word</Application>
  <DocSecurity>0</DocSecurity>
  <Lines>19</Lines>
  <Paragraphs>5</Paragraphs>
  <ScaleCrop>false</ScaleCrop>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tadili</dc:creator>
  <cp:keywords/>
  <dc:description/>
  <cp:lastModifiedBy>rachid tadili</cp:lastModifiedBy>
  <cp:revision>2</cp:revision>
  <dcterms:created xsi:type="dcterms:W3CDTF">2016-07-20T13:51:00Z</dcterms:created>
  <dcterms:modified xsi:type="dcterms:W3CDTF">2016-07-20T13:53:00Z</dcterms:modified>
</cp:coreProperties>
</file>